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26261" w14:textId="77777777" w:rsidR="001800B7" w:rsidRPr="00E5349C" w:rsidRDefault="001800B7" w:rsidP="001800B7">
      <w:pPr>
        <w:rPr>
          <w:color w:val="767171" w:themeColor="background2" w:themeShade="80"/>
          <w:sz w:val="48"/>
          <w:szCs w:val="48"/>
        </w:rPr>
      </w:pPr>
      <w:r w:rsidRPr="00E5349C">
        <w:rPr>
          <w:color w:val="767171" w:themeColor="background2" w:themeShade="80"/>
          <w:sz w:val="48"/>
          <w:szCs w:val="48"/>
        </w:rPr>
        <w:t>Tentative Agenda Decision and comment letters:</w:t>
      </w:r>
    </w:p>
    <w:p w14:paraId="7802A8AE" w14:textId="280C6DD8" w:rsidR="001800B7" w:rsidRPr="00E5349C" w:rsidRDefault="001800B7" w:rsidP="001800B7">
      <w:pPr>
        <w:rPr>
          <w:color w:val="767171" w:themeColor="background2" w:themeShade="80"/>
          <w:sz w:val="48"/>
          <w:szCs w:val="48"/>
        </w:rPr>
      </w:pPr>
      <w:r w:rsidRPr="00E5349C">
        <w:rPr>
          <w:color w:val="767171" w:themeColor="background2" w:themeShade="80"/>
          <w:sz w:val="48"/>
          <w:szCs w:val="48"/>
        </w:rPr>
        <w:t xml:space="preserve">Classification of a Foreign Exchange Difference from </w:t>
      </w:r>
      <w:r w:rsidR="00E5349C" w:rsidRPr="00E5349C">
        <w:rPr>
          <w:color w:val="767171" w:themeColor="background2" w:themeShade="80"/>
          <w:sz w:val="48"/>
          <w:szCs w:val="48"/>
        </w:rPr>
        <w:t>an Intragroup</w:t>
      </w:r>
      <w:r w:rsidRPr="00E5349C">
        <w:rPr>
          <w:color w:val="767171" w:themeColor="background2" w:themeShade="80"/>
          <w:sz w:val="48"/>
          <w:szCs w:val="48"/>
        </w:rPr>
        <w:t xml:space="preserve"> Monetary Liability (or Asset) (IFRS 18)</w:t>
      </w:r>
    </w:p>
    <w:p w14:paraId="41F5983A" w14:textId="77777777" w:rsidR="00E5349C" w:rsidRPr="00E5349C" w:rsidRDefault="00E5349C" w:rsidP="001800B7">
      <w:pPr>
        <w:rPr>
          <w:color w:val="767171" w:themeColor="background2" w:themeShade="80"/>
          <w:sz w:val="48"/>
          <w:szCs w:val="48"/>
        </w:rPr>
      </w:pPr>
    </w:p>
    <w:p w14:paraId="24CDD5E0" w14:textId="77777777" w:rsidR="00E5349C" w:rsidRPr="00E5349C" w:rsidRDefault="00E5349C" w:rsidP="001800B7">
      <w:pPr>
        <w:rPr>
          <w:color w:val="767171" w:themeColor="background2" w:themeShade="80"/>
          <w:sz w:val="48"/>
          <w:szCs w:val="48"/>
        </w:rPr>
      </w:pPr>
    </w:p>
    <w:p w14:paraId="2116A0AE" w14:textId="77777777" w:rsidR="00E5349C" w:rsidRPr="00E5349C" w:rsidRDefault="00E5349C" w:rsidP="001800B7">
      <w:pPr>
        <w:rPr>
          <w:color w:val="767171" w:themeColor="background2" w:themeShade="80"/>
          <w:sz w:val="48"/>
          <w:szCs w:val="48"/>
        </w:rPr>
      </w:pPr>
    </w:p>
    <w:p w14:paraId="48B2BD8A" w14:textId="77777777" w:rsidR="00E5349C" w:rsidRPr="00E5349C" w:rsidRDefault="00E5349C" w:rsidP="001800B7">
      <w:pPr>
        <w:rPr>
          <w:color w:val="767171" w:themeColor="background2" w:themeShade="80"/>
          <w:sz w:val="48"/>
          <w:szCs w:val="48"/>
        </w:rPr>
      </w:pPr>
    </w:p>
    <w:p w14:paraId="7EDC0005" w14:textId="77777777" w:rsidR="00E5349C" w:rsidRPr="00E5349C" w:rsidRDefault="00E5349C" w:rsidP="001800B7">
      <w:pPr>
        <w:rPr>
          <w:color w:val="767171" w:themeColor="background2" w:themeShade="80"/>
          <w:sz w:val="48"/>
          <w:szCs w:val="48"/>
        </w:rPr>
      </w:pPr>
    </w:p>
    <w:p w14:paraId="7FFD94EC" w14:textId="77777777" w:rsidR="00E5349C" w:rsidRPr="00E5349C" w:rsidRDefault="00E5349C" w:rsidP="001800B7">
      <w:pPr>
        <w:rPr>
          <w:color w:val="767171" w:themeColor="background2" w:themeShade="80"/>
          <w:sz w:val="48"/>
          <w:szCs w:val="48"/>
        </w:rPr>
      </w:pPr>
    </w:p>
    <w:p w14:paraId="49B72851" w14:textId="77777777" w:rsidR="00E5349C" w:rsidRPr="00E5349C" w:rsidRDefault="00E5349C" w:rsidP="001800B7">
      <w:pPr>
        <w:rPr>
          <w:color w:val="767171" w:themeColor="background2" w:themeShade="80"/>
          <w:sz w:val="48"/>
          <w:szCs w:val="48"/>
        </w:rPr>
      </w:pPr>
    </w:p>
    <w:p w14:paraId="1A3A7170" w14:textId="77777777" w:rsidR="00E5349C" w:rsidRPr="00E5349C" w:rsidRDefault="00E5349C" w:rsidP="001800B7">
      <w:pPr>
        <w:rPr>
          <w:color w:val="767171" w:themeColor="background2" w:themeShade="80"/>
          <w:sz w:val="48"/>
          <w:szCs w:val="48"/>
        </w:rPr>
      </w:pPr>
    </w:p>
    <w:p w14:paraId="63ABA8F8" w14:textId="77777777" w:rsidR="00E5349C" w:rsidRPr="00E5349C" w:rsidRDefault="00E5349C" w:rsidP="001800B7">
      <w:pPr>
        <w:rPr>
          <w:color w:val="767171" w:themeColor="background2" w:themeShade="80"/>
          <w:sz w:val="48"/>
          <w:szCs w:val="48"/>
        </w:rPr>
      </w:pPr>
    </w:p>
    <w:p w14:paraId="3F15308E" w14:textId="77777777" w:rsidR="00E5349C" w:rsidRPr="00E5349C" w:rsidRDefault="00E5349C" w:rsidP="001800B7">
      <w:pPr>
        <w:rPr>
          <w:color w:val="767171" w:themeColor="background2" w:themeShade="80"/>
          <w:sz w:val="48"/>
          <w:szCs w:val="48"/>
        </w:rPr>
      </w:pPr>
    </w:p>
    <w:p w14:paraId="030039D6" w14:textId="77777777" w:rsidR="00E5349C" w:rsidRPr="00E5349C" w:rsidRDefault="00E5349C" w:rsidP="001800B7">
      <w:pPr>
        <w:rPr>
          <w:color w:val="767171" w:themeColor="background2" w:themeShade="80"/>
          <w:sz w:val="48"/>
          <w:szCs w:val="48"/>
        </w:rPr>
      </w:pPr>
    </w:p>
    <w:p w14:paraId="2996C204" w14:textId="77777777" w:rsidR="00E5349C" w:rsidRPr="00E5349C" w:rsidRDefault="00E5349C" w:rsidP="001800B7">
      <w:pPr>
        <w:rPr>
          <w:color w:val="767171" w:themeColor="background2" w:themeShade="80"/>
          <w:sz w:val="48"/>
          <w:szCs w:val="48"/>
        </w:rPr>
      </w:pPr>
    </w:p>
    <w:p w14:paraId="5D42E0E7" w14:textId="4A5EAB1C" w:rsidR="00E5349C" w:rsidRPr="00E5349C" w:rsidRDefault="00E5349C" w:rsidP="001800B7">
      <w:pPr>
        <w:rPr>
          <w:b/>
          <w:bCs/>
          <w:color w:val="767171" w:themeColor="background2" w:themeShade="80"/>
          <w:sz w:val="28"/>
          <w:szCs w:val="28"/>
          <w:u w:val="single"/>
        </w:rPr>
      </w:pPr>
      <w:r w:rsidRPr="00E5349C">
        <w:rPr>
          <w:b/>
          <w:bCs/>
          <w:color w:val="767171" w:themeColor="background2" w:themeShade="80"/>
          <w:sz w:val="28"/>
          <w:szCs w:val="28"/>
          <w:u w:val="single"/>
        </w:rPr>
        <w:lastRenderedPageBreak/>
        <w:t xml:space="preserve">Decision by the </w:t>
      </w:r>
      <w:r w:rsidR="003D0849">
        <w:rPr>
          <w:b/>
          <w:bCs/>
          <w:color w:val="767171" w:themeColor="background2" w:themeShade="80"/>
          <w:sz w:val="28"/>
          <w:szCs w:val="28"/>
          <w:u w:val="single"/>
        </w:rPr>
        <w:t xml:space="preserve">IFRS </w:t>
      </w:r>
      <w:r w:rsidRPr="00E5349C">
        <w:rPr>
          <w:b/>
          <w:bCs/>
          <w:color w:val="767171" w:themeColor="background2" w:themeShade="80"/>
          <w:sz w:val="28"/>
          <w:szCs w:val="28"/>
          <w:u w:val="single"/>
        </w:rPr>
        <w:t>Committee</w:t>
      </w:r>
    </w:p>
    <w:p w14:paraId="6DBEC564" w14:textId="77777777" w:rsidR="00E5349C" w:rsidRPr="00E5349C" w:rsidRDefault="00E5349C" w:rsidP="001800B7">
      <w:pPr>
        <w:rPr>
          <w:b/>
          <w:bCs/>
          <w:color w:val="767171" w:themeColor="background2" w:themeShade="80"/>
          <w:sz w:val="28"/>
          <w:szCs w:val="28"/>
          <w:u w:val="single"/>
        </w:rPr>
      </w:pPr>
    </w:p>
    <w:p w14:paraId="7F1ED53E" w14:textId="77777777" w:rsidR="00E5349C" w:rsidRPr="00E5349C" w:rsidRDefault="00E5349C" w:rsidP="00E5349C">
      <w:pPr>
        <w:jc w:val="both"/>
        <w:rPr>
          <w:b/>
          <w:bCs/>
          <w:color w:val="767171" w:themeColor="background2" w:themeShade="80"/>
          <w:sz w:val="28"/>
          <w:szCs w:val="28"/>
          <w:u w:val="single"/>
        </w:rPr>
      </w:pPr>
      <w:r w:rsidRPr="00E5349C">
        <w:rPr>
          <w:b/>
          <w:bCs/>
          <w:color w:val="767171" w:themeColor="background2" w:themeShade="80"/>
          <w:sz w:val="28"/>
          <w:szCs w:val="28"/>
          <w:u w:val="single"/>
        </w:rPr>
        <w:t>Applying the requirements in IFRS Accounting Standards</w:t>
      </w:r>
    </w:p>
    <w:p w14:paraId="1B588703" w14:textId="6B72F01C" w:rsidR="00E5349C" w:rsidRPr="00E5349C" w:rsidRDefault="00E5349C" w:rsidP="00E5349C">
      <w:pPr>
        <w:jc w:val="both"/>
        <w:rPr>
          <w:b/>
          <w:bCs/>
          <w:color w:val="767171" w:themeColor="background2" w:themeShade="80"/>
          <w:sz w:val="28"/>
          <w:szCs w:val="28"/>
        </w:rPr>
      </w:pPr>
      <w:r w:rsidRPr="00E5349C">
        <w:rPr>
          <w:b/>
          <w:bCs/>
          <w:color w:val="767171" w:themeColor="background2" w:themeShade="80"/>
          <w:sz w:val="28"/>
          <w:szCs w:val="28"/>
        </w:rPr>
        <w:t xml:space="preserve">Seven Committee members concluded that View I (as described in this [draft] agenda decision) </w:t>
      </w:r>
      <w:r w:rsidRPr="00E5349C">
        <w:rPr>
          <w:b/>
          <w:bCs/>
          <w:color w:val="767171" w:themeColor="background2" w:themeShade="80"/>
          <w:sz w:val="28"/>
          <w:szCs w:val="28"/>
        </w:rPr>
        <w:t>is the</w:t>
      </w:r>
      <w:r w:rsidRPr="00E5349C">
        <w:rPr>
          <w:b/>
          <w:bCs/>
          <w:color w:val="767171" w:themeColor="background2" w:themeShade="80"/>
          <w:sz w:val="28"/>
          <w:szCs w:val="28"/>
        </w:rPr>
        <w:t xml:space="preserve"> only reasonable reading of paragraph B65 of IFRS 18. The other seven Committee </w:t>
      </w:r>
      <w:r w:rsidRPr="00E5349C">
        <w:rPr>
          <w:b/>
          <w:bCs/>
          <w:color w:val="767171" w:themeColor="background2" w:themeShade="80"/>
          <w:sz w:val="28"/>
          <w:szCs w:val="28"/>
        </w:rPr>
        <w:t>members concluded</w:t>
      </w:r>
      <w:r w:rsidRPr="00E5349C">
        <w:rPr>
          <w:b/>
          <w:bCs/>
          <w:color w:val="767171" w:themeColor="background2" w:themeShade="80"/>
          <w:sz w:val="28"/>
          <w:szCs w:val="28"/>
        </w:rPr>
        <w:t xml:space="preserve"> that both View I and View II (as described in this [draft] agenda decision) </w:t>
      </w:r>
      <w:r w:rsidRPr="00E5349C">
        <w:rPr>
          <w:b/>
          <w:bCs/>
          <w:color w:val="767171" w:themeColor="background2" w:themeShade="80"/>
          <w:sz w:val="28"/>
          <w:szCs w:val="28"/>
        </w:rPr>
        <w:t>are reasonable</w:t>
      </w:r>
      <w:r w:rsidRPr="00E5349C">
        <w:rPr>
          <w:b/>
          <w:bCs/>
          <w:color w:val="767171" w:themeColor="background2" w:themeShade="80"/>
          <w:sz w:val="28"/>
          <w:szCs w:val="28"/>
        </w:rPr>
        <w:t xml:space="preserve"> readings of paragraph B65 of IFRS 18.</w:t>
      </w:r>
    </w:p>
    <w:p w14:paraId="72BF968E" w14:textId="63B47CCB" w:rsidR="00E5349C" w:rsidRPr="00E5349C" w:rsidRDefault="00E5349C" w:rsidP="00E5349C">
      <w:pPr>
        <w:jc w:val="both"/>
        <w:rPr>
          <w:b/>
          <w:bCs/>
          <w:color w:val="767171" w:themeColor="background2" w:themeShade="80"/>
          <w:sz w:val="28"/>
          <w:szCs w:val="28"/>
        </w:rPr>
      </w:pPr>
      <w:r w:rsidRPr="00E5349C">
        <w:rPr>
          <w:b/>
          <w:bCs/>
          <w:color w:val="767171" w:themeColor="background2" w:themeShade="80"/>
          <w:sz w:val="28"/>
          <w:szCs w:val="28"/>
        </w:rPr>
        <w:t xml:space="preserve"> The Committee concluded that the three other views included in the request (as described in </w:t>
      </w:r>
      <w:r w:rsidRPr="00E5349C">
        <w:rPr>
          <w:b/>
          <w:bCs/>
          <w:color w:val="767171" w:themeColor="background2" w:themeShade="80"/>
          <w:sz w:val="28"/>
          <w:szCs w:val="28"/>
        </w:rPr>
        <w:t>this [</w:t>
      </w:r>
      <w:r w:rsidRPr="00E5349C">
        <w:rPr>
          <w:b/>
          <w:bCs/>
          <w:color w:val="767171" w:themeColor="background2" w:themeShade="80"/>
          <w:sz w:val="28"/>
          <w:szCs w:val="28"/>
        </w:rPr>
        <w:t xml:space="preserve">draft] agenda decision) are not reasonable readings of paragraph B65 of IFRS 18.    </w:t>
      </w:r>
    </w:p>
    <w:p w14:paraId="3AFFC94F" w14:textId="77777777" w:rsidR="00E5349C" w:rsidRPr="00E5349C" w:rsidRDefault="00E5349C" w:rsidP="00E5349C">
      <w:pPr>
        <w:jc w:val="both"/>
        <w:rPr>
          <w:b/>
          <w:bCs/>
          <w:color w:val="767171" w:themeColor="background2" w:themeShade="80"/>
          <w:sz w:val="28"/>
          <w:szCs w:val="28"/>
        </w:rPr>
      </w:pPr>
      <w:r w:rsidRPr="00E5349C">
        <w:rPr>
          <w:b/>
          <w:bCs/>
          <w:color w:val="767171" w:themeColor="background2" w:themeShade="80"/>
          <w:sz w:val="28"/>
          <w:szCs w:val="28"/>
        </w:rPr>
        <w:t>Conclusion</w:t>
      </w:r>
    </w:p>
    <w:p w14:paraId="18BF6E3A" w14:textId="19627964" w:rsidR="00E5349C" w:rsidRDefault="00E5349C" w:rsidP="00E5349C">
      <w:pPr>
        <w:jc w:val="both"/>
        <w:rPr>
          <w:b/>
          <w:bCs/>
          <w:color w:val="767171" w:themeColor="background2" w:themeShade="80"/>
          <w:sz w:val="28"/>
          <w:szCs w:val="28"/>
        </w:rPr>
      </w:pPr>
      <w:r w:rsidRPr="00E5349C">
        <w:rPr>
          <w:b/>
          <w:bCs/>
          <w:color w:val="767171" w:themeColor="background2" w:themeShade="80"/>
          <w:sz w:val="28"/>
          <w:szCs w:val="28"/>
        </w:rPr>
        <w:t>Notwithstanding the different views of its members, the Committee</w:t>
      </w:r>
      <w:r w:rsidRPr="00E5349C">
        <w:rPr>
          <w:b/>
          <w:bCs/>
          <w:color w:val="767171" w:themeColor="background2" w:themeShade="80"/>
          <w:sz w:val="28"/>
          <w:szCs w:val="28"/>
        </w:rPr>
        <w:t xml:space="preserve"> </w:t>
      </w:r>
      <w:r w:rsidRPr="00E5349C">
        <w:rPr>
          <w:b/>
          <w:bCs/>
          <w:color w:val="767171" w:themeColor="background2" w:themeShade="80"/>
          <w:sz w:val="28"/>
          <w:szCs w:val="28"/>
        </w:rPr>
        <w:t xml:space="preserve">[decided] not to add </w:t>
      </w:r>
      <w:r w:rsidRPr="00E5349C">
        <w:rPr>
          <w:b/>
          <w:bCs/>
          <w:color w:val="767171" w:themeColor="background2" w:themeShade="80"/>
          <w:sz w:val="28"/>
          <w:szCs w:val="28"/>
        </w:rPr>
        <w:t>a standard</w:t>
      </w:r>
      <w:r w:rsidRPr="00E5349C">
        <w:rPr>
          <w:b/>
          <w:bCs/>
          <w:color w:val="767171" w:themeColor="background2" w:themeShade="80"/>
          <w:sz w:val="28"/>
          <w:szCs w:val="28"/>
        </w:rPr>
        <w:t>-setting project to the work plan</w:t>
      </w:r>
      <w:r>
        <w:rPr>
          <w:b/>
          <w:bCs/>
          <w:color w:val="767171" w:themeColor="background2" w:themeShade="80"/>
          <w:sz w:val="28"/>
          <w:szCs w:val="28"/>
        </w:rPr>
        <w:t>.</w:t>
      </w:r>
    </w:p>
    <w:p w14:paraId="6A3E91DD" w14:textId="77777777" w:rsidR="00E5349C" w:rsidRDefault="00E5349C" w:rsidP="00E5349C">
      <w:pPr>
        <w:jc w:val="both"/>
        <w:rPr>
          <w:b/>
          <w:bCs/>
          <w:color w:val="767171" w:themeColor="background2" w:themeShade="80"/>
          <w:sz w:val="28"/>
          <w:szCs w:val="28"/>
        </w:rPr>
      </w:pPr>
    </w:p>
    <w:p w14:paraId="196846CC" w14:textId="78C3226C" w:rsidR="00E5349C" w:rsidRPr="00421BF3" w:rsidRDefault="00E5349C" w:rsidP="00E5349C">
      <w:pPr>
        <w:jc w:val="both"/>
        <w:rPr>
          <w:b/>
          <w:bCs/>
          <w:sz w:val="28"/>
          <w:szCs w:val="28"/>
          <w:u w:val="single"/>
        </w:rPr>
      </w:pPr>
      <w:r w:rsidRPr="00421BF3">
        <w:rPr>
          <w:b/>
          <w:bCs/>
          <w:sz w:val="28"/>
          <w:szCs w:val="28"/>
          <w:u w:val="single"/>
        </w:rPr>
        <w:t>Comments:</w:t>
      </w:r>
    </w:p>
    <w:p w14:paraId="250E8D3F" w14:textId="7886AABC" w:rsidR="00E5349C" w:rsidRPr="00421BF3" w:rsidRDefault="00421BF3" w:rsidP="00421BF3">
      <w:pPr>
        <w:jc w:val="both"/>
        <w:rPr>
          <w:b/>
          <w:bCs/>
          <w:color w:val="0070C0"/>
          <w:sz w:val="28"/>
          <w:szCs w:val="28"/>
        </w:rPr>
      </w:pPr>
      <w:r w:rsidRPr="00421BF3">
        <w:rPr>
          <w:b/>
          <w:bCs/>
          <w:color w:val="0070C0"/>
          <w:sz w:val="28"/>
          <w:szCs w:val="28"/>
        </w:rPr>
        <w:t>1.</w:t>
      </w:r>
      <w:r>
        <w:rPr>
          <w:b/>
          <w:bCs/>
          <w:color w:val="0070C0"/>
          <w:sz w:val="28"/>
          <w:szCs w:val="28"/>
        </w:rPr>
        <w:t xml:space="preserve"> </w:t>
      </w:r>
      <w:r w:rsidR="00E5349C" w:rsidRPr="00421BF3">
        <w:rPr>
          <w:b/>
          <w:bCs/>
          <w:color w:val="0070C0"/>
          <w:sz w:val="28"/>
          <w:szCs w:val="28"/>
        </w:rPr>
        <w:t>Tentative Agenda Decision</w:t>
      </w:r>
      <w:r w:rsidR="00E5349C" w:rsidRPr="00421BF3">
        <w:rPr>
          <w:b/>
          <w:bCs/>
          <w:color w:val="0070C0"/>
          <w:sz w:val="28"/>
          <w:szCs w:val="28"/>
        </w:rPr>
        <w:t xml:space="preserve"> says that </w:t>
      </w:r>
      <w:r w:rsidR="00E5349C" w:rsidRPr="00421BF3">
        <w:rPr>
          <w:b/>
          <w:bCs/>
          <w:color w:val="0070C0"/>
          <w:sz w:val="28"/>
          <w:szCs w:val="28"/>
        </w:rPr>
        <w:t>Seven Committee members concluded that View I</w:t>
      </w:r>
      <w:r w:rsidR="00E5349C" w:rsidRPr="00421BF3">
        <w:rPr>
          <w:b/>
          <w:bCs/>
          <w:color w:val="0070C0"/>
          <w:sz w:val="28"/>
          <w:szCs w:val="28"/>
        </w:rPr>
        <w:t xml:space="preserve"> </w:t>
      </w:r>
      <w:r w:rsidRPr="00421BF3">
        <w:rPr>
          <w:b/>
          <w:bCs/>
          <w:color w:val="0070C0"/>
          <w:sz w:val="28"/>
          <w:szCs w:val="28"/>
        </w:rPr>
        <w:t>is the only reasonable reading of paragraph B65 of IFRS 18</w:t>
      </w:r>
      <w:r>
        <w:rPr>
          <w:b/>
          <w:bCs/>
          <w:color w:val="0070C0"/>
          <w:sz w:val="28"/>
          <w:szCs w:val="28"/>
        </w:rPr>
        <w:t xml:space="preserve"> </w:t>
      </w:r>
      <w:r w:rsidR="00E5349C" w:rsidRPr="00421BF3">
        <w:rPr>
          <w:b/>
          <w:bCs/>
          <w:color w:val="0070C0"/>
          <w:sz w:val="28"/>
          <w:szCs w:val="28"/>
        </w:rPr>
        <w:t>and t</w:t>
      </w:r>
      <w:r w:rsidR="00E5349C" w:rsidRPr="00421BF3">
        <w:rPr>
          <w:b/>
          <w:bCs/>
          <w:color w:val="0070C0"/>
          <w:sz w:val="28"/>
          <w:szCs w:val="28"/>
        </w:rPr>
        <w:t>he other seven Committee members concluded that both View I and View II are reasonable readings of paragraph B65 of IFRS 18</w:t>
      </w:r>
      <w:r w:rsidR="00E5349C" w:rsidRPr="00421BF3">
        <w:rPr>
          <w:b/>
          <w:bCs/>
          <w:color w:val="0070C0"/>
          <w:sz w:val="28"/>
          <w:szCs w:val="28"/>
        </w:rPr>
        <w:t xml:space="preserve"> and the conclusion was n</w:t>
      </w:r>
      <w:r w:rsidR="00E5349C" w:rsidRPr="00421BF3">
        <w:rPr>
          <w:b/>
          <w:bCs/>
          <w:color w:val="0070C0"/>
          <w:sz w:val="28"/>
          <w:szCs w:val="28"/>
        </w:rPr>
        <w:t>otwithstanding the different views of its members, the Committee [decided] not to add a standard-setting project to the work plan.</w:t>
      </w:r>
    </w:p>
    <w:p w14:paraId="1AA8065F" w14:textId="7F6548B9" w:rsidR="00F02F57" w:rsidRPr="00421BF3" w:rsidRDefault="00421BF3" w:rsidP="00F02F57">
      <w:pPr>
        <w:jc w:val="both"/>
        <w:rPr>
          <w:b/>
          <w:bCs/>
          <w:color w:val="0070C0"/>
          <w:sz w:val="28"/>
          <w:szCs w:val="28"/>
        </w:rPr>
      </w:pPr>
      <w:r>
        <w:rPr>
          <w:b/>
          <w:bCs/>
          <w:color w:val="0070C0"/>
          <w:sz w:val="28"/>
          <w:szCs w:val="28"/>
        </w:rPr>
        <w:t>2. Since, t</w:t>
      </w:r>
      <w:r w:rsidR="00F02F57" w:rsidRPr="00421BF3">
        <w:rPr>
          <w:b/>
          <w:bCs/>
          <w:color w:val="0070C0"/>
          <w:sz w:val="28"/>
          <w:szCs w:val="28"/>
        </w:rPr>
        <w:t xml:space="preserve">he committee were equally divided (seven for View:1 and another seven for </w:t>
      </w:r>
      <w:r w:rsidR="00F02F57" w:rsidRPr="00421BF3">
        <w:rPr>
          <w:b/>
          <w:bCs/>
          <w:color w:val="0070C0"/>
          <w:sz w:val="28"/>
          <w:szCs w:val="28"/>
        </w:rPr>
        <w:t>both View I and View II</w:t>
      </w:r>
      <w:r w:rsidR="00F02F57" w:rsidRPr="00421BF3">
        <w:rPr>
          <w:b/>
          <w:bCs/>
          <w:color w:val="0070C0"/>
          <w:sz w:val="28"/>
          <w:szCs w:val="28"/>
        </w:rPr>
        <w:t>) the committee agreed not to add ‘</w:t>
      </w:r>
      <w:r w:rsidR="00F02F57" w:rsidRPr="00421BF3">
        <w:rPr>
          <w:b/>
          <w:bCs/>
          <w:color w:val="0070C0"/>
          <w:sz w:val="28"/>
          <w:szCs w:val="28"/>
        </w:rPr>
        <w:t>classification of a foreign exchange difference from</w:t>
      </w:r>
      <w:r w:rsidR="00F02F57" w:rsidRPr="00421BF3">
        <w:rPr>
          <w:b/>
          <w:bCs/>
          <w:color w:val="0070C0"/>
          <w:sz w:val="28"/>
          <w:szCs w:val="28"/>
        </w:rPr>
        <w:t xml:space="preserve"> </w:t>
      </w:r>
      <w:r w:rsidR="00F02F57" w:rsidRPr="00421BF3">
        <w:rPr>
          <w:b/>
          <w:bCs/>
          <w:color w:val="0070C0"/>
          <w:sz w:val="28"/>
          <w:szCs w:val="28"/>
        </w:rPr>
        <w:t>an intragroup monetary liability classification of a foreign exchange difference from an intragroup monetary liability</w:t>
      </w:r>
      <w:r w:rsidR="00F02F57" w:rsidRPr="00421BF3">
        <w:rPr>
          <w:b/>
          <w:bCs/>
          <w:color w:val="0070C0"/>
          <w:sz w:val="28"/>
          <w:szCs w:val="28"/>
        </w:rPr>
        <w:t>’</w:t>
      </w:r>
      <w:r w:rsidR="00F02F57" w:rsidRPr="00421BF3">
        <w:rPr>
          <w:b/>
          <w:bCs/>
          <w:color w:val="0070C0"/>
          <w:sz w:val="28"/>
          <w:szCs w:val="28"/>
        </w:rPr>
        <w:t xml:space="preserve"> </w:t>
      </w:r>
      <w:r w:rsidR="00F02F57" w:rsidRPr="00421BF3">
        <w:rPr>
          <w:b/>
          <w:bCs/>
          <w:color w:val="0070C0"/>
          <w:sz w:val="28"/>
          <w:szCs w:val="28"/>
        </w:rPr>
        <w:t xml:space="preserve">as a standard-setting project. In other words, the committee has agreed with ‘disagreement’ among the committee members.   </w:t>
      </w:r>
    </w:p>
    <w:p w14:paraId="6F3AEEC4" w14:textId="53F1A9DC" w:rsidR="00E5349C" w:rsidRPr="00421BF3" w:rsidRDefault="00421BF3" w:rsidP="00E5349C">
      <w:pPr>
        <w:jc w:val="both"/>
        <w:rPr>
          <w:b/>
          <w:bCs/>
          <w:color w:val="0070C0"/>
          <w:sz w:val="28"/>
          <w:szCs w:val="28"/>
        </w:rPr>
      </w:pPr>
      <w:r>
        <w:rPr>
          <w:b/>
          <w:bCs/>
          <w:color w:val="0070C0"/>
          <w:sz w:val="28"/>
          <w:szCs w:val="28"/>
        </w:rPr>
        <w:t>3. There cannot be a final decision on the agenda, w</w:t>
      </w:r>
      <w:r w:rsidR="00E5349C" w:rsidRPr="00421BF3">
        <w:rPr>
          <w:b/>
          <w:bCs/>
          <w:color w:val="0070C0"/>
          <w:sz w:val="28"/>
          <w:szCs w:val="28"/>
        </w:rPr>
        <w:t>hen the committee was equally divided</w:t>
      </w:r>
      <w:r>
        <w:rPr>
          <w:b/>
          <w:bCs/>
          <w:color w:val="0070C0"/>
          <w:sz w:val="28"/>
          <w:szCs w:val="28"/>
        </w:rPr>
        <w:t>.</w:t>
      </w:r>
      <w:r w:rsidR="00F02F57" w:rsidRPr="00421BF3">
        <w:rPr>
          <w:b/>
          <w:bCs/>
          <w:color w:val="0070C0"/>
          <w:sz w:val="28"/>
          <w:szCs w:val="28"/>
        </w:rPr>
        <w:t xml:space="preserve"> When there is an equal number of ‘agreement’ and </w:t>
      </w:r>
      <w:r w:rsidR="00F02F57" w:rsidRPr="00421BF3">
        <w:rPr>
          <w:b/>
          <w:bCs/>
          <w:color w:val="0070C0"/>
          <w:sz w:val="28"/>
          <w:szCs w:val="28"/>
        </w:rPr>
        <w:lastRenderedPageBreak/>
        <w:t>‘disagreement’</w:t>
      </w:r>
      <w:r w:rsidR="00554812" w:rsidRPr="00421BF3">
        <w:rPr>
          <w:b/>
          <w:bCs/>
          <w:color w:val="0070C0"/>
          <w:sz w:val="28"/>
          <w:szCs w:val="28"/>
        </w:rPr>
        <w:t>,</w:t>
      </w:r>
      <w:r w:rsidR="00F02F57" w:rsidRPr="00421BF3">
        <w:rPr>
          <w:b/>
          <w:bCs/>
          <w:color w:val="0070C0"/>
          <w:sz w:val="28"/>
          <w:szCs w:val="28"/>
        </w:rPr>
        <w:t xml:space="preserve"> a third decision cannot be implemented.</w:t>
      </w:r>
      <w:r w:rsidR="00EC6BA7" w:rsidRPr="00421BF3">
        <w:rPr>
          <w:b/>
          <w:bCs/>
          <w:color w:val="0070C0"/>
          <w:sz w:val="28"/>
          <w:szCs w:val="28"/>
        </w:rPr>
        <w:t xml:space="preserve"> </w:t>
      </w:r>
      <w:r w:rsidR="00EC6BA7" w:rsidRPr="00421BF3">
        <w:rPr>
          <w:b/>
          <w:bCs/>
          <w:color w:val="0070C0"/>
          <w:sz w:val="28"/>
          <w:szCs w:val="28"/>
        </w:rPr>
        <w:t>If there is a tie, the motion does not pass</w:t>
      </w:r>
      <w:r w:rsidR="00554812" w:rsidRPr="00421BF3">
        <w:rPr>
          <w:b/>
          <w:bCs/>
          <w:color w:val="0070C0"/>
          <w:sz w:val="28"/>
          <w:szCs w:val="28"/>
        </w:rPr>
        <w:t>,</w:t>
      </w:r>
      <w:r w:rsidR="00EC6BA7" w:rsidRPr="00421BF3">
        <w:rPr>
          <w:b/>
          <w:bCs/>
          <w:color w:val="0070C0"/>
          <w:sz w:val="28"/>
          <w:szCs w:val="28"/>
        </w:rPr>
        <w:t xml:space="preserve"> as it fails to achieve a majority. </w:t>
      </w:r>
      <w:r w:rsidR="00554812" w:rsidRPr="00421BF3">
        <w:rPr>
          <w:b/>
          <w:bCs/>
          <w:color w:val="0070C0"/>
          <w:sz w:val="28"/>
          <w:szCs w:val="28"/>
        </w:rPr>
        <w:t>In such situation, f</w:t>
      </w:r>
      <w:r w:rsidR="00EC6BA7" w:rsidRPr="00421BF3">
        <w:rPr>
          <w:b/>
          <w:bCs/>
          <w:color w:val="0070C0"/>
          <w:sz w:val="28"/>
          <w:szCs w:val="28"/>
        </w:rPr>
        <w:t>urther discussion or additional rounds of voting may be required to resolve the issue.</w:t>
      </w:r>
      <w:r w:rsidR="00F02F57" w:rsidRPr="00421BF3">
        <w:rPr>
          <w:b/>
          <w:bCs/>
          <w:color w:val="0070C0"/>
          <w:sz w:val="28"/>
          <w:szCs w:val="28"/>
        </w:rPr>
        <w:t xml:space="preserve"> </w:t>
      </w:r>
    </w:p>
    <w:p w14:paraId="4ACB154C" w14:textId="08394683" w:rsidR="00EE3803" w:rsidRPr="00421BF3" w:rsidRDefault="00421BF3" w:rsidP="00E5349C">
      <w:pPr>
        <w:jc w:val="both"/>
        <w:rPr>
          <w:b/>
          <w:bCs/>
          <w:color w:val="0070C0"/>
          <w:sz w:val="28"/>
          <w:szCs w:val="28"/>
        </w:rPr>
      </w:pPr>
      <w:r>
        <w:rPr>
          <w:b/>
          <w:bCs/>
          <w:color w:val="0070C0"/>
          <w:sz w:val="28"/>
          <w:szCs w:val="28"/>
        </w:rPr>
        <w:t xml:space="preserve">4. </w:t>
      </w:r>
      <w:r w:rsidR="00EE3803" w:rsidRPr="00421BF3">
        <w:rPr>
          <w:b/>
          <w:bCs/>
          <w:color w:val="0070C0"/>
          <w:sz w:val="28"/>
          <w:szCs w:val="28"/>
        </w:rPr>
        <w:t>The view – II was that ‘</w:t>
      </w:r>
      <w:r w:rsidR="00EE3803" w:rsidRPr="00421BF3">
        <w:rPr>
          <w:b/>
          <w:bCs/>
          <w:color w:val="0070C0"/>
          <w:sz w:val="28"/>
          <w:szCs w:val="28"/>
        </w:rPr>
        <w:t>Classify the exchange difference in the same category in which the income and expenses from the intragroup loan would have been classified before their elimination on consolidation, or, if doing so would involve undue cost or effort, in the operating category</w:t>
      </w:r>
      <w:r w:rsidR="00EE3803" w:rsidRPr="00421BF3">
        <w:rPr>
          <w:b/>
          <w:bCs/>
          <w:color w:val="0070C0"/>
          <w:sz w:val="28"/>
          <w:szCs w:val="28"/>
        </w:rPr>
        <w:t xml:space="preserve">’. The view -I was that </w:t>
      </w:r>
      <w:r w:rsidR="00EE3803" w:rsidRPr="00421BF3">
        <w:rPr>
          <w:b/>
          <w:bCs/>
          <w:color w:val="0070C0"/>
          <w:sz w:val="28"/>
          <w:szCs w:val="28"/>
        </w:rPr>
        <w:t>Classify the exchange difference in the operating category as the default category in accordance with paragraph 52 of IFRS 18</w:t>
      </w:r>
      <w:r w:rsidR="00EE3803" w:rsidRPr="00421BF3">
        <w:rPr>
          <w:b/>
          <w:bCs/>
          <w:color w:val="0070C0"/>
          <w:sz w:val="28"/>
          <w:szCs w:val="28"/>
        </w:rPr>
        <w:t>.</w:t>
      </w:r>
      <w:r w:rsidR="00BA6BDB" w:rsidRPr="00421BF3">
        <w:rPr>
          <w:b/>
          <w:bCs/>
          <w:color w:val="0070C0"/>
          <w:sz w:val="28"/>
          <w:szCs w:val="28"/>
        </w:rPr>
        <w:t xml:space="preserve"> In simple terms</w:t>
      </w:r>
      <w:r>
        <w:rPr>
          <w:b/>
          <w:bCs/>
          <w:color w:val="0070C0"/>
          <w:sz w:val="28"/>
          <w:szCs w:val="28"/>
        </w:rPr>
        <w:t>.</w:t>
      </w:r>
      <w:r w:rsidR="00BA6BDB" w:rsidRPr="00421BF3">
        <w:rPr>
          <w:b/>
          <w:bCs/>
          <w:color w:val="0070C0"/>
          <w:sz w:val="28"/>
          <w:szCs w:val="28"/>
        </w:rPr>
        <w:t xml:space="preserve"> the view </w:t>
      </w:r>
      <w:r>
        <w:rPr>
          <w:b/>
          <w:bCs/>
          <w:color w:val="0070C0"/>
          <w:sz w:val="28"/>
          <w:szCs w:val="28"/>
        </w:rPr>
        <w:t xml:space="preserve">- </w:t>
      </w:r>
      <w:r w:rsidR="00BA6BDB" w:rsidRPr="00421BF3">
        <w:rPr>
          <w:b/>
          <w:bCs/>
          <w:color w:val="0070C0"/>
          <w:sz w:val="28"/>
          <w:szCs w:val="28"/>
        </w:rPr>
        <w:t>II need not be followed</w:t>
      </w:r>
      <w:r>
        <w:rPr>
          <w:b/>
          <w:bCs/>
          <w:color w:val="0070C0"/>
          <w:sz w:val="28"/>
          <w:szCs w:val="28"/>
        </w:rPr>
        <w:t>,</w:t>
      </w:r>
      <w:r w:rsidR="00BA6BDB" w:rsidRPr="00421BF3">
        <w:rPr>
          <w:b/>
          <w:bCs/>
          <w:color w:val="0070C0"/>
          <w:sz w:val="28"/>
          <w:szCs w:val="28"/>
        </w:rPr>
        <w:t xml:space="preserve"> if there is undue cost and in such case view-I (classifying under operating category) will be followed. Therefore, there is an agreement/unanimity among all the 14 committee members to follow the classification under ‘operating category’ but for the factor of undue costs. It appears </w:t>
      </w:r>
      <w:r w:rsidR="00BA6BDB" w:rsidRPr="00421BF3">
        <w:rPr>
          <w:b/>
          <w:bCs/>
          <w:color w:val="0070C0"/>
          <w:sz w:val="28"/>
          <w:szCs w:val="28"/>
        </w:rPr>
        <w:t xml:space="preserve">not to add </w:t>
      </w:r>
      <w:r w:rsidR="00BA6BDB" w:rsidRPr="00421BF3">
        <w:rPr>
          <w:b/>
          <w:bCs/>
          <w:color w:val="0070C0"/>
          <w:sz w:val="28"/>
          <w:szCs w:val="28"/>
        </w:rPr>
        <w:t xml:space="preserve">the classification as </w:t>
      </w:r>
      <w:r w:rsidR="00BA6BDB" w:rsidRPr="00421BF3">
        <w:rPr>
          <w:b/>
          <w:bCs/>
          <w:color w:val="0070C0"/>
          <w:sz w:val="28"/>
          <w:szCs w:val="28"/>
        </w:rPr>
        <w:t>a standard-setting project to the work plan</w:t>
      </w:r>
      <w:r w:rsidR="00BA6BDB" w:rsidRPr="00421BF3">
        <w:rPr>
          <w:b/>
          <w:bCs/>
          <w:color w:val="0070C0"/>
          <w:sz w:val="28"/>
          <w:szCs w:val="28"/>
        </w:rPr>
        <w:t xml:space="preserve"> on account </w:t>
      </w:r>
      <w:r w:rsidR="006D58F4" w:rsidRPr="00421BF3">
        <w:rPr>
          <w:b/>
          <w:bCs/>
          <w:color w:val="0070C0"/>
          <w:sz w:val="28"/>
          <w:szCs w:val="28"/>
        </w:rPr>
        <w:t>of ‘</w:t>
      </w:r>
      <w:r w:rsidR="00BA6BDB" w:rsidRPr="00421BF3">
        <w:rPr>
          <w:b/>
          <w:bCs/>
          <w:color w:val="0070C0"/>
          <w:sz w:val="28"/>
          <w:szCs w:val="28"/>
        </w:rPr>
        <w:t xml:space="preserve">undue costs’ </w:t>
      </w:r>
      <w:r>
        <w:rPr>
          <w:b/>
          <w:bCs/>
          <w:color w:val="0070C0"/>
          <w:sz w:val="28"/>
          <w:szCs w:val="28"/>
        </w:rPr>
        <w:t xml:space="preserve">by </w:t>
      </w:r>
      <w:r w:rsidR="00BA6BDB" w:rsidRPr="00421BF3">
        <w:rPr>
          <w:b/>
          <w:bCs/>
          <w:color w:val="0070C0"/>
          <w:sz w:val="28"/>
          <w:szCs w:val="28"/>
        </w:rPr>
        <w:t>the IFRS</w:t>
      </w:r>
      <w:r>
        <w:rPr>
          <w:b/>
          <w:bCs/>
          <w:color w:val="0070C0"/>
          <w:sz w:val="28"/>
          <w:szCs w:val="28"/>
        </w:rPr>
        <w:t xml:space="preserve"> Foundation</w:t>
      </w:r>
      <w:r w:rsidR="00BA6BDB" w:rsidRPr="00421BF3">
        <w:rPr>
          <w:b/>
          <w:bCs/>
          <w:color w:val="0070C0"/>
          <w:sz w:val="28"/>
          <w:szCs w:val="28"/>
        </w:rPr>
        <w:t xml:space="preserve"> is frivolous.</w:t>
      </w:r>
      <w:r w:rsidR="006D58F4" w:rsidRPr="00421BF3">
        <w:rPr>
          <w:b/>
          <w:bCs/>
          <w:color w:val="0070C0"/>
          <w:sz w:val="28"/>
          <w:szCs w:val="28"/>
        </w:rPr>
        <w:t xml:space="preserve"> The decision has made the entire process set on motion </w:t>
      </w:r>
      <w:r w:rsidRPr="00421BF3">
        <w:rPr>
          <w:b/>
          <w:bCs/>
          <w:color w:val="0070C0"/>
          <w:sz w:val="28"/>
          <w:szCs w:val="28"/>
        </w:rPr>
        <w:t xml:space="preserve">and the effort </w:t>
      </w:r>
      <w:r w:rsidR="006D58F4" w:rsidRPr="00421BF3">
        <w:rPr>
          <w:b/>
          <w:bCs/>
          <w:color w:val="0070C0"/>
          <w:sz w:val="28"/>
          <w:szCs w:val="28"/>
        </w:rPr>
        <w:t xml:space="preserve">by the IFRS Foundation </w:t>
      </w:r>
      <w:r w:rsidRPr="00421BF3">
        <w:rPr>
          <w:b/>
          <w:bCs/>
          <w:color w:val="0070C0"/>
          <w:sz w:val="28"/>
          <w:szCs w:val="28"/>
        </w:rPr>
        <w:t>‘futile’.</w:t>
      </w:r>
    </w:p>
    <w:p w14:paraId="4A8EDED0" w14:textId="3A4D7DF5" w:rsidR="00E5349C" w:rsidRPr="00421BF3" w:rsidRDefault="00E5349C" w:rsidP="00E5349C">
      <w:pPr>
        <w:jc w:val="both"/>
        <w:rPr>
          <w:b/>
          <w:bCs/>
          <w:color w:val="0070C0"/>
          <w:sz w:val="28"/>
          <w:szCs w:val="28"/>
        </w:rPr>
      </w:pPr>
    </w:p>
    <w:p w14:paraId="088B84D1" w14:textId="6B684FFF" w:rsidR="00E5349C" w:rsidRPr="00421BF3" w:rsidRDefault="00421BF3" w:rsidP="00421BF3">
      <w:pPr>
        <w:jc w:val="center"/>
        <w:rPr>
          <w:color w:val="EE0000"/>
          <w:sz w:val="18"/>
          <w:szCs w:val="18"/>
        </w:rPr>
      </w:pPr>
      <w:r w:rsidRPr="00421BF3">
        <w:rPr>
          <w:rFonts w:ascii="Segoe UI Symbol" w:hAnsi="Segoe UI Symbol" w:cs="Segoe UI Symbol"/>
          <w:color w:val="EE0000"/>
          <w:sz w:val="18"/>
          <w:szCs w:val="18"/>
        </w:rPr>
        <w:t>⁂</w:t>
      </w:r>
    </w:p>
    <w:sectPr w:rsidR="00E5349C" w:rsidRPr="00421BF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8ECCC" w14:textId="77777777" w:rsidR="00133947" w:rsidRDefault="00133947" w:rsidP="00CF76D8">
      <w:pPr>
        <w:spacing w:after="0" w:line="240" w:lineRule="auto"/>
      </w:pPr>
      <w:r>
        <w:separator/>
      </w:r>
    </w:p>
  </w:endnote>
  <w:endnote w:type="continuationSeparator" w:id="0">
    <w:p w14:paraId="05D9AC7F" w14:textId="77777777" w:rsidR="00133947" w:rsidRDefault="00133947" w:rsidP="00CF7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2990784"/>
      <w:docPartObj>
        <w:docPartGallery w:val="Page Numbers (Bottom of Page)"/>
        <w:docPartUnique/>
      </w:docPartObj>
    </w:sdtPr>
    <w:sdtEndPr>
      <w:rPr>
        <w:noProof/>
      </w:rPr>
    </w:sdtEndPr>
    <w:sdtContent>
      <w:p w14:paraId="7970464F" w14:textId="3CF8FE1D" w:rsidR="00CF76D8" w:rsidRDefault="00CF76D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42C493" w14:textId="77777777" w:rsidR="00CF76D8" w:rsidRDefault="00CF76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5CC4D" w14:textId="77777777" w:rsidR="00133947" w:rsidRDefault="00133947" w:rsidP="00CF76D8">
      <w:pPr>
        <w:spacing w:after="0" w:line="240" w:lineRule="auto"/>
      </w:pPr>
      <w:r>
        <w:separator/>
      </w:r>
    </w:p>
  </w:footnote>
  <w:footnote w:type="continuationSeparator" w:id="0">
    <w:p w14:paraId="05E351E6" w14:textId="77777777" w:rsidR="00133947" w:rsidRDefault="00133947" w:rsidP="00CF76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023AEA"/>
    <w:multiLevelType w:val="hybridMultilevel"/>
    <w:tmpl w:val="034E2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76786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B7"/>
    <w:rsid w:val="000A23A5"/>
    <w:rsid w:val="00133947"/>
    <w:rsid w:val="001800B7"/>
    <w:rsid w:val="003D0849"/>
    <w:rsid w:val="00421BF3"/>
    <w:rsid w:val="00554812"/>
    <w:rsid w:val="006D58F4"/>
    <w:rsid w:val="00BA6BDB"/>
    <w:rsid w:val="00CF76D8"/>
    <w:rsid w:val="00E5349C"/>
    <w:rsid w:val="00EC6BA7"/>
    <w:rsid w:val="00EE3803"/>
    <w:rsid w:val="00F02F57"/>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7A410"/>
  <w15:chartTrackingRefBased/>
  <w15:docId w15:val="{6B0D141F-ED2E-465C-8974-9585CA49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ta-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00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00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00B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00B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00B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00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00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00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00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00B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00B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00B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00B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00B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00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00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00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00B7"/>
    <w:rPr>
      <w:rFonts w:eastAsiaTheme="majorEastAsia" w:cstheme="majorBidi"/>
      <w:color w:val="272727" w:themeColor="text1" w:themeTint="D8"/>
    </w:rPr>
  </w:style>
  <w:style w:type="paragraph" w:styleId="Title">
    <w:name w:val="Title"/>
    <w:basedOn w:val="Normal"/>
    <w:next w:val="Normal"/>
    <w:link w:val="TitleChar"/>
    <w:uiPriority w:val="10"/>
    <w:qFormat/>
    <w:rsid w:val="001800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00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00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00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00B7"/>
    <w:pPr>
      <w:spacing w:before="160"/>
      <w:jc w:val="center"/>
    </w:pPr>
    <w:rPr>
      <w:i/>
      <w:iCs/>
      <w:color w:val="404040" w:themeColor="text1" w:themeTint="BF"/>
    </w:rPr>
  </w:style>
  <w:style w:type="character" w:customStyle="1" w:styleId="QuoteChar">
    <w:name w:val="Quote Char"/>
    <w:basedOn w:val="DefaultParagraphFont"/>
    <w:link w:val="Quote"/>
    <w:uiPriority w:val="29"/>
    <w:rsid w:val="001800B7"/>
    <w:rPr>
      <w:i/>
      <w:iCs/>
      <w:color w:val="404040" w:themeColor="text1" w:themeTint="BF"/>
    </w:rPr>
  </w:style>
  <w:style w:type="paragraph" w:styleId="ListParagraph">
    <w:name w:val="List Paragraph"/>
    <w:basedOn w:val="Normal"/>
    <w:uiPriority w:val="34"/>
    <w:qFormat/>
    <w:rsid w:val="001800B7"/>
    <w:pPr>
      <w:ind w:left="720"/>
      <w:contextualSpacing/>
    </w:pPr>
  </w:style>
  <w:style w:type="character" w:styleId="IntenseEmphasis">
    <w:name w:val="Intense Emphasis"/>
    <w:basedOn w:val="DefaultParagraphFont"/>
    <w:uiPriority w:val="21"/>
    <w:qFormat/>
    <w:rsid w:val="001800B7"/>
    <w:rPr>
      <w:i/>
      <w:iCs/>
      <w:color w:val="2F5496" w:themeColor="accent1" w:themeShade="BF"/>
    </w:rPr>
  </w:style>
  <w:style w:type="paragraph" w:styleId="IntenseQuote">
    <w:name w:val="Intense Quote"/>
    <w:basedOn w:val="Normal"/>
    <w:next w:val="Normal"/>
    <w:link w:val="IntenseQuoteChar"/>
    <w:uiPriority w:val="30"/>
    <w:qFormat/>
    <w:rsid w:val="001800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00B7"/>
    <w:rPr>
      <w:i/>
      <w:iCs/>
      <w:color w:val="2F5496" w:themeColor="accent1" w:themeShade="BF"/>
    </w:rPr>
  </w:style>
  <w:style w:type="character" w:styleId="IntenseReference">
    <w:name w:val="Intense Reference"/>
    <w:basedOn w:val="DefaultParagraphFont"/>
    <w:uiPriority w:val="32"/>
    <w:qFormat/>
    <w:rsid w:val="001800B7"/>
    <w:rPr>
      <w:b/>
      <w:bCs/>
      <w:smallCaps/>
      <w:color w:val="2F5496" w:themeColor="accent1" w:themeShade="BF"/>
      <w:spacing w:val="5"/>
    </w:rPr>
  </w:style>
  <w:style w:type="paragraph" w:styleId="Header">
    <w:name w:val="header"/>
    <w:basedOn w:val="Normal"/>
    <w:link w:val="HeaderChar"/>
    <w:uiPriority w:val="99"/>
    <w:unhideWhenUsed/>
    <w:rsid w:val="00CF76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76D8"/>
  </w:style>
  <w:style w:type="paragraph" w:styleId="Footer">
    <w:name w:val="footer"/>
    <w:basedOn w:val="Normal"/>
    <w:link w:val="FooterChar"/>
    <w:uiPriority w:val="99"/>
    <w:unhideWhenUsed/>
    <w:rsid w:val="00CF76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76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476</Words>
  <Characters>2715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vinoth</dc:creator>
  <cp:keywords/>
  <dc:description/>
  <cp:lastModifiedBy>d vinoth</cp:lastModifiedBy>
  <cp:revision>7</cp:revision>
  <dcterms:created xsi:type="dcterms:W3CDTF">2025-11-03T10:25:00Z</dcterms:created>
  <dcterms:modified xsi:type="dcterms:W3CDTF">2025-11-03T11:18:00Z</dcterms:modified>
</cp:coreProperties>
</file>